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2007/54 vom 24. Oktober 2007</w:t>
      </w:r>
    </w:p>
    <w:p>
      <w:r>
        <w:t>Sg Versicherungsgericht, 2007-10-24, DE</w:t>
      </w:r>
    </w:p>
    <w:p>
      <w:r>
        <w:rPr>
          <w:b/>
        </w:rPr>
        <w:t xml:space="preserve">Quelle: </w:t>
      </w:r>
      <w:r>
        <w:t>https://mcp.opencaselaw.ch/entscheid/sg_publikationen_AVI 2007_54</w:t>
      </w:r>
    </w:p>
    <w:p>
      <w:r>
        <w:t>FR: SG_VERSICHERUNGSGERICHT AVI 2007/54 du 24 octobre 2007</w:t>
      </w:r>
    </w:p>
    <w:p>
      <w:r>
        <w:t>IT: SG_VERSICHERUNGSGERICHT AVI 2007/54 del 24 ottobre 2007</w:t>
      </w:r>
    </w:p>
    <w:p>
      <w:pPr>
        <w:pStyle w:val="Heading2"/>
      </w:pPr>
      <w:r>
        <w:t>Regeste</w:t>
      </w:r>
    </w:p>
    <w:p>
      <w:r>
        <w:t>Art. 30 Abs. 1 lit. a AVIG, Art. 44 Abs. 1 lit. a AVIV. Einstellung in der Anspruchsberechtigung aufgrund selbstverschuldeter Arbeitslosigkeit. Kündet der Arbeitnehmer das Arbeitsverhältnis auf Druck der Arbeitgeberin, die im Weigerungsfall selber zur Kündigung schreiten würde, so ist insgesamt von einer Kündigung durch die Arbeitgeberin auszugehen. Zu einer Einstellung in der Anspruchsberechtigung kommt es dabei nur, wenn der versicherten Person vorgeworfen werden kann, sie habe mit ihrem Verhalten in zumindest eventualvorsätzlicher Weise die Kündigung verschuldet (Entscheid des Versicherungsgerichts des Kantons St. Gallen vom 24. Oktober 2007, AVI 2007/54).</w:t>
      </w:r>
    </w:p>
    <w:p>
      <w:pPr>
        <w:pStyle w:val="Heading2"/>
      </w:pPr>
      <w:r>
        <w:t>Erwägungen</w:t>
      </w:r>
    </w:p>
    <w:p>
      <w:r>
        <w:rPr>
          <w:b/>
        </w:rPr>
        <w:t>E. 1</w:t>
      </w:r>
    </w:p>
    <w:p>
      <w:r>
        <w:t>a) Nach Art. 30 Abs. 1 lit. a des Bundesgesetzes über die obligatorische Arbeitslosenversicherung und die Insolvenzentschädigung (AVIG) ist die versicherte Person in der Anspruchsberechtigung einzustellen, wenn sie durch eigenes Verschulden arbeitslos ist. Selbstverschuldet ist die Arbeitslosigkeit nach Art. 44 Abs. 1 lit. a der Verordnung über die obligatorische Arbeitslosenversicherung und die Insolvenzentschädigung (AVIV) namentlich dann, wenn die versicherte Person durch ihr Verhalten, insbesondere wegen Verletzung arbeitsvertraglicher Pflichten, dem Arbeitgeber Anlass zur Auflösung des Arbeitsverhältnisses gegeben hat. Zu den arbeitsvertraglichen Verpflichtungen eines Arbeitnehmers gehört es, die allgemeinen Anordnungen des Arbeitgebers und die ihm erteilten besonderen Weisungen nach Treu und Glauben zu befolgen (Art. 321d Abs. 2 OR). b) Am 17. Oktober 1991 ist für die Schweiz das Übereinkommen Nr. 168 der Internationalen Arbeitsorganisation (IAO) über die Beschäftigungsförderung und den Schutz gegen Arbeitslosigkeit vom 21. Juni 1988 (SR 0.822.726.8; nachfolgend Übereinkommen) in Kraft getreten. Gemäss Art. 20 lit. b des Übereinkommens können Leistungen, auf welche eine geschützte Person bei Arbeitslosigkeit Anspruch gehabt hätte, verweigert, entzogen, zum Ruhen gebracht oder gekürzt werden, wenn die zuständige Stelle festgestellt hat, dass die betreffende Person vorsätzlich zu ihrer Entlassung beigetragen hat. Da diese Bestimmung inhaltlich hinreichend bestimmt und klar ist, ist sie im Einzelfall direkt anwendbar und geht damit allfällig widersprechendem Landesrecht vor (BVR 1999 S. 377 E. 4b). Eine Einstellung in der Anspruchsberechtigung setzt somit voraus, dass die versicherte Person vorsätzlich zu ihrer Entlassung beigetragen hat, wie auch das Bundesgericht bestätigt hat (Urteil vom 26. April 2006, i.S. S., C 11/06 mit Hinweis auf BGE 124 V 236 E. 3b, sowie Urteil vom 26. April 2006, i.S. S., C 6/06). Im Sozialversicherungsrecht handelt vorsätzlich, wer eine Tat mit Wissen und Willen begeht, oder mindestens im Sinne des Eventualvorsatzes in Kauf nimmt (JACQUELINE CHOPARD, Die Einstellung in der Anspruchsberechtigung, Diss. Zürich 1997, S. 52). Eine zumindest eventualvorsätzliche Herbeiführung der Arbeitslosigkeit liegt z.B. dann vor, wenn die versicherte Person auf Grund einer Verwarnung weiss, dass ein bestimmtes Verhalten vom Arbeitgeber nicht - oder nicht mehr - toleriert wird und zu einer Kündigung führt, sie aber die ihr nach den persönlichen Umständen und Verhältnissen zumutbare Anstrengung zu einer Änderung des vom Arbeitgeber beanstandeten Verhaltens nicht aufbringt (vgl. BVR 1999 S. 373 ff.). Hat eine versicherte Person nur grob fahrlässig zur Kündigung durch den Arbeitgeber beigetragen, ist eine Einstellung in der Anspruchsberechtigung gemäss Art. 20 lit. b des Übereinkommens nicht zulässig. c) Beim Einstellungsgrund des Art. 44 Abs. 1 lit. a AVIV genügt der im Sozialversicherungsrecht übliche Beweisgrad der überwiegenden Wahrscheinlichkeit nicht, sondern es muss das der versicherten Person zur Last gelegte Verhalten klar feststehen (vgl. THOMAS NUSSBAUMER, Arbeitslosenversicherung, in: Schweizerisches Bundesverwaltungsrecht, Bd. XIV Soziale Sicherheit, 2. Auflage, Rz 829 mit Hinweisen). Bei Differenzen zwischen Arbeitgeber und Arbeitnehmer vermögen blosse Behauptungen des Arbeitgebers den Nachweis für ein schuldhaftes Verhalten der versicherten Person nicht zu erbringen, wenn sie von dieser bestritten werden und nicht durch andere Beweise oder Indizien bestätigt erscheinen (BGE 112 V 245 E. 1 mit Hinweisen; ARV 1993/94 Nr. 26 S. 183 f. E. 2a; THOMAS NUSSBAUMER, a.a.O., Rz 831 mit Hinweisen).</w:t>
      </w:r>
    </w:p>
    <w:p>
      <w:r>
        <w:rPr>
          <w:b/>
        </w:rPr>
        <w:t>E. 2</w:t>
      </w:r>
    </w:p>
    <w:p>
      <w:r>
        <w:t>a) Im vorliegenden Fall hat die Arbeitgeberin unmissverständlich zum Ausdruck gegeben, dass sie das Arbeitsverhältnis von sich aus aufgelöst hätte, wenn der Beschwerdeführer nicht gekündigt hätte (vgl. act. G 3.6). Da die Kündigung auf Druck der Arbeitgeberin vorgenommen wurde, ist von einer (mittelbaren) Arbeitgeberkündigung auszugehen. Das Verhalten des Beschwerdeführers ist damit im Lichte von Art. 44 Abs. 1 lit. a AVIV und nicht - wovon die Beschwerdegegnerin fälschlicherweise ausging - von lit. b der genannten Bestimmung zu prüfen (vgl. zum Ganzen CHOPARD, a.a.O., S. 114). b) Nach Art. 44 Abs. 1 lit. a AVIV gilt die Arbeitslosigkeit dann als selbstverschuldet, wenn der Arbeitnehmer durch sein Verhalten dem Arbeitgeber Anlass zur Auflösung des Arbeitsverhältnisses gegeben hat. Wie ausgeführt muss dabei das Verhalten der versicherten Person in einer solchen Weise vorwerfbar sein, dass von einer (eventual-) vorsätzlichen Herbeiführung der Kündigung durch den Arbeitgeber auszugehen ist (Art. 20 lit. b Übereinkommen). Eine Verletzung arbeitsvertraglicher Pflichten ist im vorliegenden Fall nicht ersichtlich, auch die Arbeitgeberin macht keine solche Pflichtverletzung geltend. Sie war im Gegenteil mit der Arbeit des Beschwerdeführers sehr zufrieden (vgl. act. G 3.18). Anlass für die Kündigung war für die Arbeitgeberin die Tatsache, dass der Beschwerdeführer durch seinen Wohnort und die Aufnahme des Zusatzstudiums nicht mehr über die gleiche Flexibilität verfügte. Hierbei handelt es sich aber nicht um ein dem Beschwerdeführer vorwerfbares Verhalten, da weder sein (unveränderter) Wohnsitz als auch die Aufnahme eines Zusatzstudiums in direktem Zusammenhang zum Arbeitsverhältnis stehen. Zu berücksichtigen ist, dass der Beschwerdeführer in der Einsprache und in den Eingaben im Beschwerdeverfahren plausibel dargelegt hat, wie er die Arbeit trotz des langen Arbeitsweges und des aufgenommenen Zusatzstudiums im Einklang mit dem Arbeitsvertrag bestmöglich organisierte. Auch war ihm bewusst, dass die Situation für beide Vertragsparteien nicht ideal war. Er suchte denn auch eine Stelle in der Ostschweiz, die ihm einen kürzeren Arbeitsweg ermöglicht hätte und noch besser auf sein Studium abgestimmt gewesen wäre. Bis zum Finden einer solchen Stelle hätte er aber noch an der bisherigen Stelle ausgeharrt: es war die Arbeitgeberin, die den Neueintritt eines Redaktionsmitglieds zum Anlass nahm, dem Beschwerdeführer die Kündigung zu unterbreiten. Der Beschwerdeführer war weder gehalten, seinen Wohnsitz zu verlegen oder einen Wochenaufenthalt zu begründen, noch war es ihm verwehrt, neben seiner Teilzeitanstellung ein Zusatzstudium zu beginnen. Er hat der Arbeitgeberin damit nicht in vorwerfbarer Weise Anlass zur Kündigung gegeben. Damit liegt kein sanktionswürdiges Verhalten des Beschwerdeführers vor, und von einer Einstellung in der Anspruchsberechtigung ist abzusehen.</w:t>
      </w:r>
    </w:p>
    <w:p>
      <w:r>
        <w:rPr>
          <w:b/>
        </w:rPr>
        <w:t>E. 3</w:t>
      </w:r>
    </w:p>
    <w:p>
      <w:r>
        <w:t>Im Sinne dieser Erwägungen ist die Beschwerde gutzuheissen und der Einspracheentscheid vom 16. April 2007 aufzuheben. Gerichtskosten sind keine zu erheben (Art. 61 lit. a ATSG). Demgemäss hat das Versicherungsgericht im Zirkulationsverfahren gemäss Art. 53 GerG entschieden: 1. In Gutheissung der Beschwerde wird der Einspracheentscheid vom 16. April 2007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